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F6" w:rsidRDefault="00FF6B8D">
      <w:pPr>
        <w:spacing w:line="276" w:lineRule="auto"/>
        <w:jc w:val="left"/>
        <w:rPr>
          <w:rFonts w:ascii="Times New Roman" w:hAnsi="Times New Roman" w:cs="Times New Roman"/>
          <w:b/>
          <w:sz w:val="36"/>
          <w:u w:val="single"/>
          <w:lang w:val="en-IN"/>
        </w:rPr>
      </w:pPr>
      <w:bookmarkStart w:id="0" w:name="_GoBack"/>
      <w:bookmarkEnd w:id="0"/>
      <w:r>
        <w:rPr>
          <w:rFonts w:ascii="Times New Roman" w:hAnsi="Times New Roman" w:cs="Times New Roman"/>
          <w:noProof/>
          <w:sz w:val="72"/>
          <w:lang w:eastAsia="ko-KR"/>
        </w:rPr>
        <w:drawing>
          <wp:inline distT="0" distB="0" distL="0" distR="0">
            <wp:extent cx="785918" cy="766053"/>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785918" cy="766053"/>
                    </a:xfrm>
                    <a:prstGeom prst="rect">
                      <a:avLst/>
                    </a:prstGeom>
                    <a:noFill/>
                    <a:ln>
                      <a:noFill/>
                    </a:ln>
                  </pic:spPr>
                </pic:pic>
              </a:graphicData>
            </a:graphic>
          </wp:inline>
        </w:drawing>
      </w:r>
      <w:r>
        <w:rPr>
          <w:rFonts w:ascii="Arial" w:hAnsi="Arial" w:cs="Arial"/>
          <w:color w:val="333333"/>
          <w:sz w:val="18"/>
          <w:szCs w:val="18"/>
          <w:lang w:val="en-IN" w:eastAsia="en-US"/>
        </w:rPr>
        <w:t xml:space="preserve">                                                                                                                                                </w:t>
      </w:r>
      <w:r>
        <w:rPr>
          <w:rFonts w:ascii="Arial" w:hAnsi="Arial" w:cs="Arial"/>
          <w:noProof/>
          <w:color w:val="333333"/>
          <w:sz w:val="18"/>
          <w:szCs w:val="18"/>
          <w:lang w:eastAsia="ko-KR"/>
        </w:rPr>
        <w:drawing>
          <wp:inline distT="0" distB="0" distL="0" distR="0">
            <wp:extent cx="1514284" cy="549222"/>
            <wp:effectExtent l="0" t="0" r="0" b="0"/>
            <wp:docPr id="1026" name="shape1026">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514284" cy="549222"/>
                    </a:xfrm>
                    <a:prstGeom prst="rect">
                      <a:avLst/>
                    </a:prstGeom>
                    <a:noFill/>
                    <a:ln>
                      <a:noFill/>
                    </a:ln>
                  </pic:spPr>
                </pic:pic>
              </a:graphicData>
            </a:graphic>
          </wp:inline>
        </w:drawing>
      </w:r>
    </w:p>
    <w:p w:rsidR="00735AF6" w:rsidRDefault="00735AF6">
      <w:pPr>
        <w:spacing w:line="276" w:lineRule="auto"/>
        <w:jc w:val="center"/>
        <w:rPr>
          <w:rFonts w:ascii="Times New Roman" w:hAnsi="Times New Roman" w:cs="Times New Roman"/>
          <w:b/>
          <w:sz w:val="32"/>
          <w:szCs w:val="22"/>
          <w:u w:val="single"/>
          <w:lang w:val="en-IN"/>
        </w:rPr>
      </w:pPr>
    </w:p>
    <w:p w:rsidR="00735AF6" w:rsidRDefault="00FF6B8D">
      <w:pPr>
        <w:spacing w:line="276" w:lineRule="auto"/>
        <w:jc w:val="center"/>
        <w:rPr>
          <w:rFonts w:ascii="Times New Roman" w:hAnsi="Times New Roman" w:cs="Times New Roman"/>
          <w:b/>
          <w:sz w:val="32"/>
          <w:szCs w:val="22"/>
          <w:u w:val="single"/>
          <w:lang w:val="en-IN"/>
        </w:rPr>
      </w:pPr>
      <w:r>
        <w:rPr>
          <w:rFonts w:ascii="Times New Roman" w:hAnsi="Times New Roman" w:cs="Times New Roman"/>
          <w:b/>
          <w:sz w:val="32"/>
          <w:szCs w:val="22"/>
          <w:u w:val="single"/>
          <w:lang w:val="en-IN"/>
        </w:rPr>
        <w:t>AUA-IITB Overseas Study Programme 2021 – Sustainable Energy Systems</w:t>
      </w:r>
    </w:p>
    <w:p w:rsidR="00735AF6" w:rsidRDefault="00735AF6">
      <w:pPr>
        <w:spacing w:line="276" w:lineRule="auto"/>
        <w:rPr>
          <w:rFonts w:ascii="Times New Roman" w:hAnsi="Times New Roman" w:cs="Times New Roman"/>
          <w:lang w:val="en-IN"/>
        </w:rPr>
      </w:pPr>
    </w:p>
    <w:p w:rsidR="00735AF6" w:rsidRDefault="00FF6B8D">
      <w:pPr>
        <w:spacing w:line="276" w:lineRule="auto"/>
        <w:rPr>
          <w:rFonts w:ascii="Times New Roman" w:hAnsi="Times New Roman" w:cs="Times New Roman"/>
          <w:lang w:val="en-IN"/>
        </w:rPr>
      </w:pPr>
      <w:r>
        <w:rPr>
          <w:rFonts w:ascii="Times New Roman" w:hAnsi="Times New Roman" w:cs="Times New Roman"/>
          <w:b/>
          <w:lang w:val="en-IN"/>
        </w:rPr>
        <w:t>When:</w:t>
      </w:r>
      <w:r>
        <w:rPr>
          <w:rFonts w:ascii="Times New Roman" w:hAnsi="Times New Roman" w:cs="Times New Roman"/>
          <w:lang w:val="en-IN"/>
        </w:rPr>
        <w:t xml:space="preserve"> 5</w:t>
      </w:r>
      <w:r>
        <w:rPr>
          <w:rFonts w:ascii="Times New Roman" w:hAnsi="Times New Roman" w:cs="Times New Roman"/>
          <w:vertAlign w:val="superscript"/>
          <w:lang w:val="en-IN"/>
        </w:rPr>
        <w:t>th</w:t>
      </w:r>
      <w:r>
        <w:rPr>
          <w:rFonts w:ascii="Times New Roman" w:hAnsi="Times New Roman" w:cs="Times New Roman"/>
          <w:lang w:val="en-IN"/>
        </w:rPr>
        <w:t xml:space="preserve"> July 2021 to 16</w:t>
      </w:r>
      <w:r>
        <w:rPr>
          <w:rFonts w:ascii="Times New Roman" w:hAnsi="Times New Roman" w:cs="Times New Roman"/>
          <w:vertAlign w:val="superscript"/>
          <w:lang w:val="en-IN"/>
        </w:rPr>
        <w:t>th</w:t>
      </w:r>
      <w:r>
        <w:rPr>
          <w:rFonts w:ascii="Times New Roman" w:hAnsi="Times New Roman" w:cs="Times New Roman"/>
          <w:lang w:val="en-IN"/>
        </w:rPr>
        <w:t xml:space="preserve"> July 2021</w:t>
      </w:r>
    </w:p>
    <w:p w:rsidR="00735AF6" w:rsidRDefault="00FF6B8D">
      <w:pPr>
        <w:spacing w:line="276" w:lineRule="auto"/>
        <w:rPr>
          <w:rFonts w:ascii="Times New Roman" w:hAnsi="Times New Roman" w:cs="Times New Roman"/>
          <w:lang w:val="en-IN"/>
        </w:rPr>
      </w:pPr>
      <w:r>
        <w:rPr>
          <w:rFonts w:ascii="Times New Roman" w:hAnsi="Times New Roman" w:cs="Times New Roman"/>
          <w:b/>
          <w:lang w:val="en-IN"/>
        </w:rPr>
        <w:t>Where:</w:t>
      </w:r>
      <w:r>
        <w:rPr>
          <w:rFonts w:ascii="Times New Roman" w:hAnsi="Times New Roman" w:cs="Times New Roman"/>
          <w:lang w:val="en-IN"/>
        </w:rPr>
        <w:t xml:space="preserve"> Indian Institute of Technology Bombay (IIT Bombay), India</w:t>
      </w:r>
    </w:p>
    <w:p w:rsidR="00735AF6" w:rsidRDefault="00FF6B8D">
      <w:pPr>
        <w:spacing w:line="276" w:lineRule="auto"/>
        <w:rPr>
          <w:rFonts w:ascii="Times New Roman" w:hAnsi="Times New Roman" w:cs="Times New Roman"/>
          <w:lang w:val="en-IN"/>
        </w:rPr>
      </w:pPr>
      <w:r>
        <w:rPr>
          <w:rFonts w:ascii="Times New Roman" w:hAnsi="Times New Roman" w:cs="Times New Roman"/>
          <w:b/>
          <w:lang w:val="en-IN"/>
        </w:rPr>
        <w:t>Who:</w:t>
      </w:r>
      <w:r>
        <w:rPr>
          <w:rFonts w:ascii="Times New Roman" w:hAnsi="Times New Roman" w:cs="Times New Roman"/>
          <w:lang w:val="en-IN"/>
        </w:rPr>
        <w:t xml:space="preserve"> Undergraduate (final year students), Postgraduate (open for all students), and PhD students</w:t>
      </w:r>
    </w:p>
    <w:p w:rsidR="00735AF6" w:rsidRDefault="00FF6B8D">
      <w:pPr>
        <w:spacing w:line="276" w:lineRule="auto"/>
        <w:rPr>
          <w:rFonts w:ascii="Times New Roman" w:hAnsi="Times New Roman" w:cs="Times New Roman"/>
          <w:lang w:val="en-IN"/>
        </w:rPr>
      </w:pPr>
      <w:r>
        <w:rPr>
          <w:rFonts w:ascii="Times New Roman" w:hAnsi="Times New Roman" w:cs="Times New Roman"/>
          <w:b/>
          <w:lang w:val="en-IN"/>
        </w:rPr>
        <w:t>Why:</w:t>
      </w:r>
      <w:r>
        <w:rPr>
          <w:rFonts w:ascii="Times New Roman" w:hAnsi="Times New Roman" w:cs="Times New Roman"/>
          <w:lang w:val="en-IN"/>
        </w:rPr>
        <w:t xml:space="preserve"> Over the last two decades, IIT Bombay has been at the forefront of energy education and r</w:t>
      </w:r>
      <w:r>
        <w:rPr>
          <w:rFonts w:ascii="Times New Roman" w:hAnsi="Times New Roman" w:cs="Times New Roman"/>
          <w:lang w:val="en-IN"/>
        </w:rPr>
        <w:t>esearch. Based on this vast experience, this online course will provide the students with an overview of the various renewable energy conversion and storage technologies. Various sustainability and climate related aspects will be discussed along with equip</w:t>
      </w:r>
      <w:r>
        <w:rPr>
          <w:rFonts w:ascii="Times New Roman" w:hAnsi="Times New Roman" w:cs="Times New Roman"/>
          <w:lang w:val="en-IN"/>
        </w:rPr>
        <w:t>ping the students with knowledge on evaluating alternatives based on economic and environmental aspects. There will also be virtual visits to the labs and energy system installations in the institute campus in India. The course will therefore give the stud</w:t>
      </w:r>
      <w:r>
        <w:rPr>
          <w:rFonts w:ascii="Times New Roman" w:hAnsi="Times New Roman" w:cs="Times New Roman"/>
          <w:lang w:val="en-IN"/>
        </w:rPr>
        <w:t>ents a strong exposure to the current energy scenario, with particular focus on the AUA countries, and help them develop a perspective by comparing the energy scenario in their country with that in the other AUA countries. This shall lead to the students b</w:t>
      </w:r>
      <w:r>
        <w:rPr>
          <w:rFonts w:ascii="Times New Roman" w:hAnsi="Times New Roman" w:cs="Times New Roman"/>
          <w:lang w:val="en-IN"/>
        </w:rPr>
        <w:t>eing prepared to participate as engineers or policy makers in the energy transitions towards a more sustainable society.</w:t>
      </w:r>
    </w:p>
    <w:p w:rsidR="00735AF6" w:rsidRDefault="00FF6B8D">
      <w:pPr>
        <w:spacing w:line="276" w:lineRule="auto"/>
        <w:jc w:val="left"/>
        <w:rPr>
          <w:rFonts w:ascii="Times New Roman" w:hAnsi="Times New Roman" w:cs="Times New Roman"/>
          <w:b/>
          <w:lang w:val="en-IN"/>
        </w:rPr>
      </w:pPr>
      <w:r>
        <w:rPr>
          <w:rFonts w:ascii="Times New Roman" w:hAnsi="Times New Roman" w:cs="Times New Roman"/>
          <w:b/>
          <w:lang w:val="en-IN"/>
        </w:rPr>
        <w:t>Program Schedule:</w:t>
      </w:r>
    </w:p>
    <w:p w:rsidR="00735AF6" w:rsidRDefault="00FF6B8D">
      <w:pPr>
        <w:spacing w:after="0" w:line="276" w:lineRule="auto"/>
        <w:jc w:val="center"/>
        <w:rPr>
          <w:rFonts w:ascii="Times New Roman" w:hAnsi="Times New Roman" w:cs="Times New Roman"/>
          <w:bCs/>
          <w:i/>
          <w:iCs/>
          <w:lang w:val="en-IN"/>
        </w:rPr>
      </w:pPr>
      <w:r>
        <w:rPr>
          <w:rFonts w:ascii="Times New Roman" w:hAnsi="Times New Roman" w:cs="Times New Roman"/>
          <w:bCs/>
          <w:i/>
          <w:iCs/>
          <w:lang w:val="en-IN"/>
        </w:rPr>
        <w:t>Morning sessions: 11:30 am to 1 pm (India time)</w:t>
      </w:r>
    </w:p>
    <w:p w:rsidR="00735AF6" w:rsidRDefault="00FF6B8D">
      <w:pPr>
        <w:spacing w:after="0" w:line="276" w:lineRule="auto"/>
        <w:jc w:val="center"/>
        <w:rPr>
          <w:rFonts w:ascii="Times New Roman" w:hAnsi="Times New Roman" w:cs="Times New Roman"/>
          <w:bCs/>
          <w:i/>
          <w:iCs/>
          <w:lang w:val="en-IN"/>
        </w:rPr>
      </w:pPr>
      <w:r>
        <w:rPr>
          <w:rFonts w:ascii="Times New Roman" w:hAnsi="Times New Roman" w:cs="Times New Roman"/>
          <w:bCs/>
          <w:i/>
          <w:iCs/>
          <w:lang w:val="en-IN"/>
        </w:rPr>
        <w:t>Afternoon sessions: 2 pm to 3:30 pm (India time)</w:t>
      </w:r>
    </w:p>
    <w:p w:rsidR="00735AF6" w:rsidRDefault="00735AF6">
      <w:pPr>
        <w:spacing w:after="0" w:line="276" w:lineRule="auto"/>
        <w:jc w:val="center"/>
        <w:rPr>
          <w:rFonts w:ascii="Times New Roman" w:hAnsi="Times New Roman" w:cs="Times New Roman"/>
          <w:bCs/>
          <w:i/>
          <w:iCs/>
          <w:lang w:val="en-IN"/>
        </w:rPr>
      </w:pPr>
    </w:p>
    <w:tbl>
      <w:tblPr>
        <w:tblW w:w="5000" w:type="pct"/>
        <w:tblLook w:val="04A0" w:firstRow="1" w:lastRow="0" w:firstColumn="1" w:lastColumn="0" w:noHBand="0" w:noVBand="1"/>
      </w:tblPr>
      <w:tblGrid>
        <w:gridCol w:w="1554"/>
        <w:gridCol w:w="2967"/>
        <w:gridCol w:w="6269"/>
      </w:tblGrid>
      <w:tr w:rsidR="00735AF6">
        <w:trPr>
          <w:trHeight w:val="403"/>
          <w:tblHeader/>
        </w:trPr>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b/>
                <w:bCs/>
                <w:color w:val="000000"/>
                <w:kern w:val="0"/>
                <w:lang w:val="en-IN" w:eastAsia="en-IN" w:bidi="hi-IN"/>
              </w:rPr>
            </w:pPr>
            <w:r>
              <w:rPr>
                <w:rFonts w:ascii="Times New Roman" w:eastAsia="Times New Roman" w:hAnsi="Times New Roman" w:cs="Times New Roman"/>
                <w:b/>
                <w:bCs/>
                <w:color w:val="000000"/>
                <w:kern w:val="0"/>
                <w:lang w:val="en-IN" w:eastAsia="en-IN" w:bidi="hi-IN"/>
              </w:rPr>
              <w:t>Date</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b/>
                <w:bCs/>
                <w:color w:val="000000"/>
                <w:kern w:val="0"/>
                <w:lang w:val="en-IN" w:eastAsia="en-IN" w:bidi="hi-IN"/>
              </w:rPr>
            </w:pPr>
            <w:r>
              <w:rPr>
                <w:rFonts w:ascii="Times New Roman" w:eastAsia="Times New Roman" w:hAnsi="Times New Roman" w:cs="Times New Roman"/>
                <w:b/>
                <w:bCs/>
                <w:color w:val="000000"/>
                <w:kern w:val="0"/>
                <w:lang w:val="en-IN" w:eastAsia="en-IN" w:bidi="hi-IN"/>
              </w:rPr>
              <w:t>Time</w:t>
            </w:r>
          </w:p>
        </w:tc>
        <w:tc>
          <w:tcPr>
            <w:tcW w:w="2905" w:type="pct"/>
            <w:tcBorders>
              <w:top w:val="single" w:sz="4" w:space="0" w:color="auto"/>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b/>
                <w:bCs/>
                <w:color w:val="000000"/>
                <w:kern w:val="0"/>
                <w:lang w:val="en-IN" w:eastAsia="en-IN" w:bidi="hi-IN"/>
              </w:rPr>
            </w:pPr>
            <w:r>
              <w:rPr>
                <w:rFonts w:ascii="Times New Roman" w:eastAsia="Times New Roman" w:hAnsi="Times New Roman" w:cs="Times New Roman"/>
                <w:b/>
                <w:bCs/>
                <w:color w:val="000000"/>
                <w:kern w:val="0"/>
                <w:lang w:val="en-IN" w:eastAsia="en-IN" w:bidi="hi-IN"/>
              </w:rPr>
              <w:t>Topic</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05-Jul-21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Course introduction; World energy scenario</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Energy sustainability and climate goals</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06-Jul-21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Solar PV technologies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12:30 pm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Tutorial on solar PV system sizing</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xml:space="preserve">2 pm to 3 </w:t>
            </w:r>
            <w:r>
              <w:rPr>
                <w:rFonts w:ascii="Times New Roman" w:eastAsia="Times New Roman" w:hAnsi="Times New Roman" w:cs="Times New Roman"/>
                <w:color w:val="000000"/>
                <w:kern w:val="0"/>
                <w:lang w:val="en-IN" w:eastAsia="en-IN" w:bidi="hi-IN"/>
              </w:rPr>
              <w:t>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Solar thermal technologies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3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Solar energy lab - instruments and experiments</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000000"/>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07-Jul-21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Biomass gasification and combustion</w:t>
            </w:r>
          </w:p>
        </w:tc>
      </w:tr>
      <w:tr w:rsidR="00735AF6">
        <w:trPr>
          <w:trHeight w:val="403"/>
        </w:trPr>
        <w:tc>
          <w:tcPr>
            <w:tcW w:w="720" w:type="pct"/>
            <w:vMerge/>
            <w:tcBorders>
              <w:top w:val="nil"/>
              <w:left w:val="single" w:sz="4" w:space="0" w:color="auto"/>
              <w:bottom w:val="single" w:sz="4" w:space="0" w:color="000000"/>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12:30 pm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Tutorial on bioenergy systems</w:t>
            </w:r>
          </w:p>
        </w:tc>
      </w:tr>
      <w:tr w:rsidR="00735AF6">
        <w:trPr>
          <w:trHeight w:val="403"/>
        </w:trPr>
        <w:tc>
          <w:tcPr>
            <w:tcW w:w="720" w:type="pct"/>
            <w:vMerge/>
            <w:tcBorders>
              <w:top w:val="nil"/>
              <w:left w:val="single" w:sz="4" w:space="0" w:color="auto"/>
              <w:bottom w:val="single" w:sz="4" w:space="0" w:color="000000"/>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xml:space="preserve">Bioenergy system </w:t>
            </w:r>
            <w:r>
              <w:rPr>
                <w:rFonts w:ascii="Times New Roman" w:eastAsia="Times New Roman" w:hAnsi="Times New Roman" w:cs="Times New Roman"/>
                <w:color w:val="000000"/>
                <w:kern w:val="0"/>
                <w:lang w:val="en-IN" w:eastAsia="en-IN" w:bidi="hi-IN"/>
              </w:rPr>
              <w:t>sizing and calculations</w:t>
            </w:r>
          </w:p>
        </w:tc>
      </w:tr>
      <w:tr w:rsidR="00735AF6">
        <w:trPr>
          <w:trHeight w:val="403"/>
        </w:trPr>
        <w:tc>
          <w:tcPr>
            <w:tcW w:w="720" w:type="pct"/>
            <w:vMerge/>
            <w:tcBorders>
              <w:top w:val="nil"/>
              <w:left w:val="single" w:sz="4" w:space="0" w:color="auto"/>
              <w:bottom w:val="single" w:sz="4" w:space="0" w:color="000000"/>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3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Bioenergy system lab</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08-Jul-21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Fuel cells for stationary and mobile applications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12:30 pm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Tutorial on fuel cell performance assessment</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xml:space="preserve">Next generation </w:t>
            </w:r>
            <w:r>
              <w:rPr>
                <w:rFonts w:ascii="Times New Roman" w:eastAsia="Times New Roman" w:hAnsi="Times New Roman" w:cs="Times New Roman"/>
                <w:color w:val="000000"/>
                <w:kern w:val="0"/>
                <w:lang w:val="en-IN" w:eastAsia="en-IN" w:bidi="hi-IN"/>
              </w:rPr>
              <w:t>vehicles and pollution norms</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09-Jul-21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12:15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Electrochemical energy storage</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12:15 pm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Battery sizing for stand-alone and grid connected systems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Hydrogen storage</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3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Hydrogen storage lab</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 noon</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Microgrids and smart grids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 noon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Microgrids and smart grids tutorial and lab</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Grid integration of renewables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3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Grid integration lab</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13-Jul-21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xml:space="preserve">Waste-to-energy </w:t>
            </w:r>
            <w:r>
              <w:rPr>
                <w:rFonts w:ascii="Times New Roman" w:eastAsia="Times New Roman" w:hAnsi="Times New Roman" w:cs="Times New Roman"/>
                <w:color w:val="000000"/>
                <w:kern w:val="0"/>
                <w:lang w:val="en-IN" w:eastAsia="en-IN" w:bidi="hi-IN"/>
              </w:rPr>
              <w:t>systems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Design and optimization of energy systems</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14-Jul-21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 noon</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Energy economics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 noon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Tutorial on economic viability of energy systems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2:30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Energy management, auditing</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2:30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Tutorial on energy efficiency and energy economics</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15-Jul-21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12:15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Energy policy and energy security</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12:15 pm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Interactive session on energy policies of AUA countries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Student presentations</w:t>
            </w:r>
          </w:p>
        </w:tc>
      </w:tr>
      <w:tr w:rsidR="00735AF6">
        <w:trPr>
          <w:trHeight w:val="403"/>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 </w:t>
            </w:r>
          </w:p>
        </w:tc>
      </w:tr>
      <w:tr w:rsidR="00735AF6">
        <w:trPr>
          <w:trHeight w:val="403"/>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16-Jul-21</w:t>
            </w: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11:30 am to 1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Student presentations</w:t>
            </w:r>
          </w:p>
        </w:tc>
      </w:tr>
      <w:tr w:rsidR="00735AF6">
        <w:trPr>
          <w:trHeight w:val="403"/>
        </w:trPr>
        <w:tc>
          <w:tcPr>
            <w:tcW w:w="720" w:type="pct"/>
            <w:vMerge/>
            <w:tcBorders>
              <w:top w:val="nil"/>
              <w:left w:val="single" w:sz="4" w:space="0" w:color="auto"/>
              <w:bottom w:val="single" w:sz="4" w:space="0" w:color="auto"/>
              <w:right w:val="single" w:sz="4" w:space="0" w:color="auto"/>
            </w:tcBorders>
            <w:vAlign w:val="center"/>
            <w:hideMark/>
          </w:tcPr>
          <w:p w:rsidR="00735AF6" w:rsidRDefault="00735AF6">
            <w:pPr>
              <w:widowControl/>
              <w:spacing w:after="0" w:line="240" w:lineRule="auto"/>
              <w:jc w:val="left"/>
              <w:rPr>
                <w:rFonts w:ascii="Times New Roman" w:eastAsia="Times New Roman" w:hAnsi="Times New Roman" w:cs="Times New Roman"/>
                <w:color w:val="000000"/>
                <w:kern w:val="0"/>
                <w:lang w:val="en-IN" w:eastAsia="en-IN" w:bidi="hi-IN"/>
              </w:rPr>
            </w:pPr>
          </w:p>
        </w:tc>
        <w:tc>
          <w:tcPr>
            <w:tcW w:w="137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center"/>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2 pm to 3:30 pm</w:t>
            </w:r>
          </w:p>
        </w:tc>
        <w:tc>
          <w:tcPr>
            <w:tcW w:w="2905" w:type="pct"/>
            <w:tcBorders>
              <w:top w:val="nil"/>
              <w:left w:val="nil"/>
              <w:bottom w:val="single" w:sz="4" w:space="0" w:color="auto"/>
              <w:right w:val="single" w:sz="4" w:space="0" w:color="auto"/>
            </w:tcBorders>
            <w:shd w:val="clear" w:color="auto" w:fill="auto"/>
            <w:vAlign w:val="center"/>
            <w:hideMark/>
          </w:tcPr>
          <w:p w:rsidR="00735AF6" w:rsidRDefault="00FF6B8D">
            <w:pPr>
              <w:widowControl/>
              <w:spacing w:after="0" w:line="240" w:lineRule="auto"/>
              <w:jc w:val="left"/>
              <w:rPr>
                <w:rFonts w:ascii="Times New Roman" w:eastAsia="Times New Roman" w:hAnsi="Times New Roman" w:cs="Times New Roman"/>
                <w:color w:val="000000"/>
                <w:kern w:val="0"/>
                <w:lang w:val="en-IN" w:eastAsia="en-IN" w:bidi="hi-IN"/>
              </w:rPr>
            </w:pPr>
            <w:r>
              <w:rPr>
                <w:rFonts w:ascii="Times New Roman" w:eastAsia="Times New Roman" w:hAnsi="Times New Roman" w:cs="Times New Roman"/>
                <w:color w:val="000000"/>
                <w:kern w:val="0"/>
                <w:lang w:val="en-IN" w:eastAsia="en-IN" w:bidi="hi-IN"/>
              </w:rPr>
              <w:t>Student presentations; Course conclusion</w:t>
            </w:r>
          </w:p>
        </w:tc>
      </w:tr>
    </w:tbl>
    <w:p w:rsidR="00735AF6" w:rsidRDefault="00735AF6">
      <w:pPr>
        <w:widowControl/>
        <w:jc w:val="left"/>
        <w:rPr>
          <w:rFonts w:ascii="Arial" w:hAnsi="Arial" w:cs="Arial"/>
          <w:color w:val="333333"/>
          <w:sz w:val="18"/>
          <w:szCs w:val="18"/>
          <w:lang w:val="en-IN" w:eastAsia="en-US"/>
        </w:rPr>
      </w:pPr>
    </w:p>
    <w:p w:rsidR="00735AF6" w:rsidRDefault="00FF6B8D">
      <w:pPr>
        <w:widowControl/>
        <w:jc w:val="left"/>
        <w:rPr>
          <w:rFonts w:ascii="Times New Roman" w:hAnsi="Times New Roman" w:cs="Times New Roman"/>
          <w:b/>
          <w:sz w:val="36"/>
          <w:u w:val="single"/>
          <w:lang w:val="en-IN"/>
        </w:rPr>
      </w:pPr>
      <w:r>
        <w:rPr>
          <w:rFonts w:ascii="Arial" w:hAnsi="Arial" w:cs="Arial"/>
          <w:color w:val="333333"/>
          <w:sz w:val="18"/>
          <w:szCs w:val="18"/>
          <w:lang w:val="en-IN" w:eastAsia="en-US"/>
        </w:rPr>
        <w:lastRenderedPageBreak/>
        <w:t xml:space="preserve">                                                                                                                                               </w:t>
      </w:r>
    </w:p>
    <w:sectPr w:rsidR="00735AF6">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F6"/>
    <w:rsid w:val="00735AF6"/>
    <w:rsid w:val="00FF6B8D"/>
  </w:rsids>
  <m:mathPr>
    <m:mathFont m:val="Cambria Math"/>
    <m:brkBin m:val="before"/>
    <m:brkBinSub m:val="--"/>
    <m:smallFrac m:val="0"/>
    <m:dispDef/>
    <m:lMargin m:val="0"/>
    <m:rMargin m:val="0"/>
    <m:defJc m:val="centerGroup"/>
    <m:wrapIndent m:val="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jc w:val="both"/>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Balloon Text"/>
    <w:basedOn w:val="a"/>
    <w:link w:val="Char"/>
    <w:uiPriority w:val="99"/>
    <w:semiHidden/>
    <w:unhideWhenUsed/>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Pr>
      <w:rFonts w:ascii="Segoe UI" w:eastAsiaTheme="minorEastAsia"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sianuniversiti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2019-04-26T04:51:00Z</cp:lastPrinted>
  <dcterms:created xsi:type="dcterms:W3CDTF">2021-05-27T06:00:00Z</dcterms:created>
  <dcterms:modified xsi:type="dcterms:W3CDTF">2021-05-27T06:00:00Z</dcterms:modified>
  <cp:version>1000.0100.01</cp:version>
</cp:coreProperties>
</file>